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739" w:rsidRPr="00E839C7" w:rsidRDefault="00311A23" w:rsidP="00B95D9C">
      <w:pPr>
        <w:spacing w:after="0"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034739" w:rsidRPr="00E839C7" w:rsidRDefault="00311A23" w:rsidP="00B95D9C">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34739" w:rsidRPr="00E839C7" w:rsidRDefault="00311A23" w:rsidP="00B95D9C">
      <w:pPr>
        <w:spacing w:after="0"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ED75F0" w:rsidRPr="00034739" w:rsidRDefault="00311A23" w:rsidP="00B95D9C">
      <w:pPr>
        <w:spacing w:after="0" w:line="480" w:lineRule="auto"/>
        <w:rPr>
          <w:rFonts w:ascii="Times New Roman" w:hAnsi="Times New Roman" w:cs="Times New Roman"/>
          <w:sz w:val="24"/>
          <w:szCs w:val="24"/>
        </w:rPr>
      </w:pPr>
      <w:r w:rsidRPr="00E839C7">
        <w:rPr>
          <w:rFonts w:ascii="Times New Roman" w:hAnsi="Times New Roman" w:cs="Times New Roman"/>
          <w:sz w:val="24"/>
          <w:szCs w:val="24"/>
        </w:rPr>
        <w:t>Date</w:t>
      </w:r>
    </w:p>
    <w:p w:rsidR="00034739" w:rsidRDefault="00311A23" w:rsidP="00B95D9C">
      <w:pPr>
        <w:pStyle w:val="NormalWeb"/>
        <w:spacing w:before="0" w:beforeAutospacing="0" w:after="0" w:afterAutospacing="0" w:line="480" w:lineRule="auto"/>
        <w:jc w:val="center"/>
        <w:rPr>
          <w:color w:val="000000" w:themeColor="text1"/>
        </w:rPr>
      </w:pPr>
      <w:r>
        <w:rPr>
          <w:color w:val="000000" w:themeColor="text1"/>
        </w:rPr>
        <w:t>Constitutional Law</w:t>
      </w:r>
    </w:p>
    <w:p w:rsidR="0051005C" w:rsidRPr="00034739" w:rsidRDefault="00311A23" w:rsidP="00B95D9C">
      <w:pPr>
        <w:pStyle w:val="NormalWeb"/>
        <w:spacing w:before="0" w:beforeAutospacing="0" w:after="0" w:afterAutospacing="0" w:line="480" w:lineRule="auto"/>
        <w:ind w:firstLine="720"/>
        <w:rPr>
          <w:color w:val="000000" w:themeColor="text1"/>
        </w:rPr>
      </w:pPr>
      <w:r>
        <w:rPr>
          <w:color w:val="000000" w:themeColor="text1"/>
        </w:rPr>
        <w:t>The First A</w:t>
      </w:r>
      <w:r w:rsidR="00D22925" w:rsidRPr="00034739">
        <w:rPr>
          <w:color w:val="000000" w:themeColor="text1"/>
        </w:rPr>
        <w:t>mendment warranties freedoms related to the petition, assembly, expression, and religion. The law prohibits Congress from restricting people from speaking freely as far as freedom of speech is concerned</w:t>
      </w:r>
      <w:r w:rsidR="00034739" w:rsidRPr="00034739">
        <w:rPr>
          <w:color w:val="000000" w:themeColor="text1"/>
        </w:rPr>
        <w:t xml:space="preserve"> (Jacqueline 34).</w:t>
      </w:r>
      <w:r w:rsidR="00D22925" w:rsidRPr="00034739">
        <w:rPr>
          <w:color w:val="000000" w:themeColor="text1"/>
        </w:rPr>
        <w:t xml:space="preserve"> It also allows the citizens to meet peacefully and petition the administration. The free exercise of expression is emphasized in this amendment.  </w:t>
      </w:r>
    </w:p>
    <w:p w:rsidR="00DB2581" w:rsidRPr="00034739" w:rsidRDefault="00311A23" w:rsidP="00B95D9C">
      <w:pPr>
        <w:pStyle w:val="NormalWeb"/>
        <w:spacing w:before="0" w:beforeAutospacing="0" w:after="0" w:afterAutospacing="0" w:line="480" w:lineRule="auto"/>
        <w:ind w:firstLine="720"/>
        <w:rPr>
          <w:color w:val="000000" w:themeColor="text1"/>
        </w:rPr>
      </w:pPr>
      <w:r>
        <w:rPr>
          <w:color w:val="000000" w:themeColor="text1"/>
        </w:rPr>
        <w:t>The first case that I would</w:t>
      </w:r>
      <w:r w:rsidR="00D22925" w:rsidRPr="00034739">
        <w:rPr>
          <w:color w:val="000000" w:themeColor="text1"/>
        </w:rPr>
        <w:t xml:space="preserve"> hig</w:t>
      </w:r>
      <w:r>
        <w:rPr>
          <w:color w:val="000000" w:themeColor="text1"/>
        </w:rPr>
        <w:t>hlight in my discussion of the First A</w:t>
      </w:r>
      <w:r w:rsidR="00D22925" w:rsidRPr="00034739">
        <w:rPr>
          <w:color w:val="000000" w:themeColor="text1"/>
        </w:rPr>
        <w:t xml:space="preserve">mendment with the law enforcers is Nieves V. Bartlett (2019). Bartlett was told to move a keg beer in the RV by law enforcers, and he was later arrested for the speech that he made in the retaliation process. However, the statement was protected under the First Amendment, and the case was forwarded to the </w:t>
      </w:r>
      <w:r w:rsidRPr="00034739">
        <w:rPr>
          <w:color w:val="000000" w:themeColor="text1"/>
        </w:rPr>
        <w:t>Supreme Court</w:t>
      </w:r>
      <w:r w:rsidR="00D22925" w:rsidRPr="00034739">
        <w:rPr>
          <w:color w:val="000000" w:themeColor="text1"/>
        </w:rPr>
        <w:t>. The court discharged Bartlett of his criminal charges: however, Bartlett filed a suit against Wright and Nieves for arresting him under a protected speech</w:t>
      </w:r>
      <w:r w:rsidR="00034739" w:rsidRPr="00034739">
        <w:rPr>
          <w:color w:val="000000" w:themeColor="text1"/>
        </w:rPr>
        <w:t xml:space="preserve"> (</w:t>
      </w:r>
      <w:r w:rsidR="00034739" w:rsidRPr="00034739">
        <w:rPr>
          <w:color w:val="000000" w:themeColor="text1"/>
          <w:shd w:val="clear" w:color="auto" w:fill="FFFFFF"/>
        </w:rPr>
        <w:t>David 13)</w:t>
      </w:r>
      <w:r w:rsidR="00D22925" w:rsidRPr="00034739">
        <w:rPr>
          <w:color w:val="000000" w:themeColor="text1"/>
        </w:rPr>
        <w:t>. The officers replied to his claims that they stopped him because of interfering with the law. The court reversed the a</w:t>
      </w:r>
      <w:r w:rsidR="00680060">
        <w:rPr>
          <w:color w:val="000000" w:themeColor="text1"/>
        </w:rPr>
        <w:t>ppeal arguing that there was</w:t>
      </w:r>
      <w:r w:rsidR="00D22925" w:rsidRPr="00034739">
        <w:rPr>
          <w:color w:val="000000" w:themeColor="text1"/>
        </w:rPr>
        <w:t xml:space="preserve"> evidence of retaliation. I chose this case because it provides information concerning the significance of the first amendment in enhancing freedom of speech. It indicates that the public is well protected under the first amendment for freedom of expression, and it should be respected.</w:t>
      </w:r>
    </w:p>
    <w:p w:rsidR="006631DB" w:rsidRPr="00034739" w:rsidRDefault="00311A23" w:rsidP="00B95D9C">
      <w:pPr>
        <w:pBdr>
          <w:bottom w:val="single" w:sz="6" w:space="18" w:color="EEEEEE"/>
        </w:pBdr>
        <w:spacing w:after="0" w:line="480" w:lineRule="auto"/>
        <w:ind w:firstLine="720"/>
        <w:textAlignment w:val="baseline"/>
        <w:rPr>
          <w:rFonts w:ascii="Times New Roman" w:eastAsia="Times New Roman" w:hAnsi="Times New Roman" w:cs="Times New Roman"/>
          <w:bCs/>
          <w:color w:val="000000" w:themeColor="text1"/>
          <w:kern w:val="36"/>
          <w:sz w:val="24"/>
          <w:szCs w:val="24"/>
        </w:rPr>
      </w:pPr>
      <w:r w:rsidRPr="00DB2581">
        <w:rPr>
          <w:rFonts w:ascii="Times New Roman" w:eastAsia="Times New Roman" w:hAnsi="Times New Roman" w:cs="Times New Roman"/>
          <w:bCs/>
          <w:iCs/>
          <w:color w:val="000000" w:themeColor="text1"/>
          <w:kern w:val="36"/>
          <w:sz w:val="24"/>
          <w:szCs w:val="24"/>
          <w:bdr w:val="none" w:sz="0" w:space="0" w:color="auto" w:frame="1"/>
        </w:rPr>
        <w:t>Manhattan Community Access Corporation v. Halleck</w:t>
      </w:r>
      <w:r w:rsidRPr="00DB2581">
        <w:rPr>
          <w:rFonts w:ascii="Times New Roman" w:eastAsia="Times New Roman" w:hAnsi="Times New Roman" w:cs="Times New Roman"/>
          <w:bCs/>
          <w:color w:val="000000" w:themeColor="text1"/>
          <w:kern w:val="36"/>
          <w:sz w:val="24"/>
          <w:szCs w:val="24"/>
        </w:rPr>
        <w:t> (2019)</w:t>
      </w:r>
      <w:r w:rsidRPr="00034739">
        <w:rPr>
          <w:rFonts w:ascii="Times New Roman" w:eastAsia="Times New Roman" w:hAnsi="Times New Roman" w:cs="Times New Roman"/>
          <w:bCs/>
          <w:color w:val="000000" w:themeColor="text1"/>
          <w:kern w:val="36"/>
          <w:sz w:val="24"/>
          <w:szCs w:val="24"/>
        </w:rPr>
        <w:t xml:space="preserve"> is another critical case to be highlighted in the discussion. Dee Halleck, who was a film producer, stated that Manhattan Neighbo</w:t>
      </w:r>
      <w:r w:rsidR="00B95D9C">
        <w:rPr>
          <w:rFonts w:ascii="Times New Roman" w:eastAsia="Times New Roman" w:hAnsi="Times New Roman" w:cs="Times New Roman"/>
          <w:bCs/>
          <w:color w:val="000000" w:themeColor="text1"/>
          <w:kern w:val="36"/>
          <w:sz w:val="24"/>
          <w:szCs w:val="24"/>
        </w:rPr>
        <w:t>rhood Network went against the First A</w:t>
      </w:r>
      <w:r w:rsidRPr="00034739">
        <w:rPr>
          <w:rFonts w:ascii="Times New Roman" w:eastAsia="Times New Roman" w:hAnsi="Times New Roman" w:cs="Times New Roman"/>
          <w:bCs/>
          <w:color w:val="000000" w:themeColor="text1"/>
          <w:kern w:val="36"/>
          <w:sz w:val="24"/>
          <w:szCs w:val="24"/>
        </w:rPr>
        <w:t xml:space="preserve">mendment law concerning the freedom of </w:t>
      </w:r>
      <w:r w:rsidRPr="00034739">
        <w:rPr>
          <w:rFonts w:ascii="Times New Roman" w:eastAsia="Times New Roman" w:hAnsi="Times New Roman" w:cs="Times New Roman"/>
          <w:bCs/>
          <w:color w:val="000000" w:themeColor="text1"/>
          <w:kern w:val="36"/>
          <w:sz w:val="24"/>
          <w:szCs w:val="24"/>
        </w:rPr>
        <w:lastRenderedPageBreak/>
        <w:t>speec</w:t>
      </w:r>
      <w:r w:rsidR="00390B95">
        <w:rPr>
          <w:rFonts w:ascii="Times New Roman" w:eastAsia="Times New Roman" w:hAnsi="Times New Roman" w:cs="Times New Roman"/>
          <w:bCs/>
          <w:color w:val="000000" w:themeColor="text1"/>
          <w:kern w:val="36"/>
          <w:sz w:val="24"/>
          <w:szCs w:val="24"/>
        </w:rPr>
        <w:t>h through discrimination and</w:t>
      </w:r>
      <w:r w:rsidRPr="00034739">
        <w:rPr>
          <w:rFonts w:ascii="Times New Roman" w:eastAsia="Times New Roman" w:hAnsi="Times New Roman" w:cs="Times New Roman"/>
          <w:bCs/>
          <w:color w:val="000000" w:themeColor="text1"/>
          <w:kern w:val="36"/>
          <w:sz w:val="24"/>
          <w:szCs w:val="24"/>
        </w:rPr>
        <w:t xml:space="preserve"> refusal to air their documentary, which was critical for the station. The documentary was aimed at revealing the neglectful acts of the Manhattan Network. Halleck and Melendez claimed that their freedom of speec</w:t>
      </w:r>
      <w:r w:rsidR="00BC3FD7">
        <w:rPr>
          <w:rFonts w:ascii="Times New Roman" w:eastAsia="Times New Roman" w:hAnsi="Times New Roman" w:cs="Times New Roman"/>
          <w:bCs/>
          <w:color w:val="000000" w:themeColor="text1"/>
          <w:kern w:val="36"/>
          <w:sz w:val="24"/>
          <w:szCs w:val="24"/>
        </w:rPr>
        <w:t>h under the first amendment act</w:t>
      </w:r>
      <w:r w:rsidR="00FF0A7B">
        <w:rPr>
          <w:rFonts w:ascii="Times New Roman" w:eastAsia="Times New Roman" w:hAnsi="Times New Roman" w:cs="Times New Roman"/>
          <w:bCs/>
          <w:color w:val="000000" w:themeColor="text1"/>
          <w:kern w:val="36"/>
          <w:sz w:val="24"/>
          <w:szCs w:val="24"/>
        </w:rPr>
        <w:t>s</w:t>
      </w:r>
      <w:r w:rsidRPr="00034739">
        <w:rPr>
          <w:rFonts w:ascii="Times New Roman" w:eastAsia="Times New Roman" w:hAnsi="Times New Roman" w:cs="Times New Roman"/>
          <w:bCs/>
          <w:color w:val="000000" w:themeColor="text1"/>
          <w:kern w:val="36"/>
          <w:sz w:val="24"/>
          <w:szCs w:val="24"/>
        </w:rPr>
        <w:t xml:space="preserve"> was </w:t>
      </w:r>
      <w:r w:rsidR="00D917AA" w:rsidRPr="00034739">
        <w:rPr>
          <w:rFonts w:ascii="Times New Roman" w:eastAsia="Times New Roman" w:hAnsi="Times New Roman" w:cs="Times New Roman"/>
          <w:bCs/>
          <w:color w:val="000000" w:themeColor="text1"/>
          <w:kern w:val="36"/>
          <w:sz w:val="24"/>
          <w:szCs w:val="24"/>
        </w:rPr>
        <w:t>restricted</w:t>
      </w:r>
      <w:r w:rsidR="00D917AA" w:rsidRPr="00034739">
        <w:rPr>
          <w:rFonts w:ascii="Times New Roman" w:hAnsi="Times New Roman" w:cs="Times New Roman"/>
          <w:color w:val="000000" w:themeColor="text1"/>
          <w:sz w:val="24"/>
          <w:szCs w:val="24"/>
        </w:rPr>
        <w:t xml:space="preserve"> (</w:t>
      </w:r>
      <w:r w:rsidR="00034739" w:rsidRPr="00034739">
        <w:rPr>
          <w:rFonts w:ascii="Times New Roman" w:hAnsi="Times New Roman" w:cs="Times New Roman"/>
          <w:color w:val="000000" w:themeColor="text1"/>
          <w:sz w:val="24"/>
          <w:szCs w:val="24"/>
          <w:shd w:val="clear" w:color="auto" w:fill="FFFFFF"/>
        </w:rPr>
        <w:t>David 15).</w:t>
      </w:r>
      <w:r w:rsidRPr="00034739">
        <w:rPr>
          <w:rFonts w:ascii="Times New Roman" w:eastAsia="Times New Roman" w:hAnsi="Times New Roman" w:cs="Times New Roman"/>
          <w:bCs/>
          <w:color w:val="000000" w:themeColor="text1"/>
          <w:kern w:val="36"/>
          <w:sz w:val="24"/>
          <w:szCs w:val="24"/>
        </w:rPr>
        <w:t xml:space="preserve"> The </w:t>
      </w:r>
      <w:r w:rsidR="00B95D9C" w:rsidRPr="00034739">
        <w:rPr>
          <w:rFonts w:ascii="Times New Roman" w:eastAsia="Times New Roman" w:hAnsi="Times New Roman" w:cs="Times New Roman"/>
          <w:bCs/>
          <w:color w:val="000000" w:themeColor="text1"/>
          <w:kern w:val="36"/>
          <w:sz w:val="24"/>
          <w:szCs w:val="24"/>
        </w:rPr>
        <w:t>Supreme Court</w:t>
      </w:r>
      <w:r w:rsidRPr="00034739">
        <w:rPr>
          <w:rFonts w:ascii="Times New Roman" w:eastAsia="Times New Roman" w:hAnsi="Times New Roman" w:cs="Times New Roman"/>
          <w:bCs/>
          <w:color w:val="000000" w:themeColor="text1"/>
          <w:kern w:val="36"/>
          <w:sz w:val="24"/>
          <w:szCs w:val="24"/>
        </w:rPr>
        <w:t xml:space="preserve"> ruled that Manhattan was a private company and not an actor of the state, which was not a subject of the first amendment. I choose t</w:t>
      </w:r>
      <w:r w:rsidR="00C87E77" w:rsidRPr="00034739">
        <w:rPr>
          <w:rFonts w:ascii="Times New Roman" w:eastAsia="Times New Roman" w:hAnsi="Times New Roman" w:cs="Times New Roman"/>
          <w:bCs/>
          <w:color w:val="000000" w:themeColor="text1"/>
          <w:kern w:val="36"/>
          <w:sz w:val="24"/>
          <w:szCs w:val="24"/>
        </w:rPr>
        <w:t xml:space="preserve">his case because it informs that for a company to be under the </w:t>
      </w:r>
      <w:r w:rsidR="00B95D9C">
        <w:rPr>
          <w:rFonts w:ascii="Times New Roman" w:eastAsia="Times New Roman" w:hAnsi="Times New Roman" w:cs="Times New Roman"/>
          <w:bCs/>
          <w:color w:val="000000" w:themeColor="text1"/>
          <w:kern w:val="36"/>
          <w:sz w:val="24"/>
          <w:szCs w:val="24"/>
        </w:rPr>
        <w:t>First A</w:t>
      </w:r>
      <w:r w:rsidR="00C87E77" w:rsidRPr="00034739">
        <w:rPr>
          <w:rFonts w:ascii="Times New Roman" w:eastAsia="Times New Roman" w:hAnsi="Times New Roman" w:cs="Times New Roman"/>
          <w:bCs/>
          <w:color w:val="000000" w:themeColor="text1"/>
          <w:kern w:val="36"/>
          <w:sz w:val="24"/>
          <w:szCs w:val="24"/>
        </w:rPr>
        <w:t>mendment, it has to be a state actor who is crucial for the law enforcers to understand.</w:t>
      </w:r>
    </w:p>
    <w:p w:rsidR="00C87E77" w:rsidRPr="00034739" w:rsidRDefault="00311A23"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r w:rsidRPr="00034739">
        <w:rPr>
          <w:b w:val="0"/>
          <w:color w:val="000000" w:themeColor="text1"/>
          <w:sz w:val="24"/>
          <w:szCs w:val="24"/>
        </w:rPr>
        <w:t xml:space="preserve">Thompson v. Hebdon (2019) presented a significant case to the </w:t>
      </w:r>
      <w:r w:rsidR="00B95D9C" w:rsidRPr="00034739">
        <w:rPr>
          <w:b w:val="0"/>
          <w:color w:val="000000" w:themeColor="text1"/>
          <w:sz w:val="24"/>
          <w:szCs w:val="24"/>
        </w:rPr>
        <w:t>Supreme Court</w:t>
      </w:r>
      <w:r w:rsidRPr="00034739">
        <w:rPr>
          <w:b w:val="0"/>
          <w:color w:val="000000" w:themeColor="text1"/>
          <w:sz w:val="24"/>
          <w:szCs w:val="24"/>
        </w:rPr>
        <w:t>, which involved a violation of freedom of speech. A policy was developed in Alaska, which r</w:t>
      </w:r>
      <w:r w:rsidR="004636BE">
        <w:rPr>
          <w:b w:val="0"/>
          <w:color w:val="000000" w:themeColor="text1"/>
          <w:sz w:val="24"/>
          <w:szCs w:val="24"/>
        </w:rPr>
        <w:t>estricted the number of people who were to</w:t>
      </w:r>
      <w:r w:rsidRPr="00034739">
        <w:rPr>
          <w:b w:val="0"/>
          <w:color w:val="000000" w:themeColor="text1"/>
          <w:sz w:val="24"/>
          <w:szCs w:val="24"/>
        </w:rPr>
        <w:t xml:space="preserve"> take part in politics. People were limited to give their contributions in campaigns. The court remanded the case to be revisited later for the decision to be made whether the restrictions were consistent with the first amendment instances</w:t>
      </w:r>
      <w:r w:rsidR="00034739" w:rsidRPr="00034739">
        <w:rPr>
          <w:b w:val="0"/>
          <w:color w:val="000000" w:themeColor="text1"/>
          <w:sz w:val="24"/>
          <w:szCs w:val="24"/>
        </w:rPr>
        <w:t xml:space="preserve"> (</w:t>
      </w:r>
      <w:r w:rsidR="00034739" w:rsidRPr="00034739">
        <w:rPr>
          <w:b w:val="0"/>
          <w:color w:val="000000" w:themeColor="text1"/>
          <w:sz w:val="24"/>
          <w:szCs w:val="24"/>
          <w:shd w:val="clear" w:color="auto" w:fill="FFFFFF"/>
        </w:rPr>
        <w:t>David 18)</w:t>
      </w:r>
      <w:r w:rsidRPr="00034739">
        <w:rPr>
          <w:b w:val="0"/>
          <w:color w:val="000000" w:themeColor="text1"/>
          <w:sz w:val="24"/>
          <w:szCs w:val="24"/>
        </w:rPr>
        <w:t xml:space="preserve">. I chose this case because </w:t>
      </w:r>
      <w:r w:rsidR="00ED75F0" w:rsidRPr="00034739">
        <w:rPr>
          <w:b w:val="0"/>
          <w:color w:val="000000" w:themeColor="text1"/>
          <w:sz w:val="24"/>
          <w:szCs w:val="24"/>
        </w:rPr>
        <w:t>it involves very crucial information about a violation of speech by the state. The argument is important as it raises important issues of concern and a particular case which requires more study to be done because the court was not able to conclude if the incident was a violation of freedom of speech under the first act.</w:t>
      </w:r>
    </w:p>
    <w:p w:rsidR="00ED75F0" w:rsidRPr="00F2415C" w:rsidRDefault="00311A23" w:rsidP="00F8548F">
      <w:pPr>
        <w:pStyle w:val="Heading1"/>
        <w:pBdr>
          <w:bottom w:val="single" w:sz="6" w:space="18" w:color="EEEEEE"/>
        </w:pBdr>
        <w:spacing w:before="0" w:beforeAutospacing="0" w:after="0" w:afterAutospacing="0" w:line="480" w:lineRule="auto"/>
        <w:ind w:firstLine="720"/>
        <w:jc w:val="center"/>
        <w:textAlignment w:val="baseline"/>
        <w:rPr>
          <w:color w:val="000000" w:themeColor="text1"/>
          <w:sz w:val="24"/>
          <w:szCs w:val="24"/>
        </w:rPr>
      </w:pPr>
      <w:r w:rsidRPr="00F2415C">
        <w:rPr>
          <w:color w:val="000000" w:themeColor="text1"/>
          <w:sz w:val="24"/>
          <w:szCs w:val="24"/>
        </w:rPr>
        <w:t>Conclusion</w:t>
      </w:r>
    </w:p>
    <w:p w:rsidR="00422B85" w:rsidRDefault="00F2415C"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r>
        <w:rPr>
          <w:b w:val="0"/>
          <w:color w:val="000000" w:themeColor="text1"/>
          <w:sz w:val="24"/>
          <w:szCs w:val="24"/>
        </w:rPr>
        <w:t>All in all, it is clear that the F</w:t>
      </w:r>
      <w:r w:rsidR="00311A23">
        <w:rPr>
          <w:b w:val="0"/>
          <w:color w:val="000000" w:themeColor="text1"/>
          <w:sz w:val="24"/>
          <w:szCs w:val="24"/>
        </w:rPr>
        <w:t xml:space="preserve">irst Amendment offers freedom of speech to the public, which is significant when enforcing the law. The law ensures that Congress does not restrict people from having the freedom of expression. When implementing the law, it is essential to consider how speech is an issue of concern to the courts in the country. Freedom of expression assumes various forms, including written to oral structures. Speech is of considerable significance when a person is restricted from expressing his or her ideas or when offending </w:t>
      </w:r>
      <w:r w:rsidR="00311A23">
        <w:rPr>
          <w:b w:val="0"/>
          <w:color w:val="000000" w:themeColor="text1"/>
          <w:sz w:val="24"/>
          <w:szCs w:val="24"/>
        </w:rPr>
        <w:lastRenderedPageBreak/>
        <w:t>words are used against an individual</w:t>
      </w:r>
      <w:r w:rsidR="00F8548F">
        <w:rPr>
          <w:b w:val="0"/>
          <w:color w:val="000000" w:themeColor="text1"/>
          <w:sz w:val="24"/>
          <w:szCs w:val="24"/>
        </w:rPr>
        <w:t xml:space="preserve"> (</w:t>
      </w:r>
      <w:r w:rsidR="00F8548F" w:rsidRPr="00034739">
        <w:rPr>
          <w:b w:val="0"/>
          <w:color w:val="000000" w:themeColor="text1"/>
          <w:sz w:val="24"/>
          <w:szCs w:val="24"/>
        </w:rPr>
        <w:t>Jacqueline</w:t>
      </w:r>
      <w:r w:rsidR="00F8548F">
        <w:rPr>
          <w:b w:val="0"/>
          <w:color w:val="000000" w:themeColor="text1"/>
          <w:sz w:val="24"/>
          <w:szCs w:val="24"/>
        </w:rPr>
        <w:t xml:space="preserve"> 27)</w:t>
      </w:r>
      <w:r w:rsidR="00311A23">
        <w:rPr>
          <w:b w:val="0"/>
          <w:color w:val="000000" w:themeColor="text1"/>
          <w:sz w:val="24"/>
          <w:szCs w:val="24"/>
        </w:rPr>
        <w:t>. Thus, law enforcers should be aware of the issues to be able to act upon those who break the law and to protect themselve</w:t>
      </w:r>
      <w:r w:rsidR="005F121B">
        <w:rPr>
          <w:b w:val="0"/>
          <w:color w:val="000000" w:themeColor="text1"/>
          <w:sz w:val="24"/>
          <w:szCs w:val="24"/>
        </w:rPr>
        <w:t>s against facing the law</w:t>
      </w:r>
      <w:r>
        <w:rPr>
          <w:b w:val="0"/>
          <w:color w:val="000000" w:themeColor="text1"/>
          <w:sz w:val="24"/>
          <w:szCs w:val="24"/>
        </w:rPr>
        <w:t xml:space="preserve"> </w:t>
      </w:r>
      <w:r w:rsidR="00F8548F">
        <w:rPr>
          <w:b w:val="0"/>
          <w:color w:val="000000" w:themeColor="text1"/>
          <w:sz w:val="24"/>
          <w:szCs w:val="24"/>
        </w:rPr>
        <w:t xml:space="preserve">after breaking this law. </w:t>
      </w: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F8548F" w:rsidRDefault="00F8548F" w:rsidP="00247CC4">
      <w:pPr>
        <w:pStyle w:val="Heading1"/>
        <w:pBdr>
          <w:bottom w:val="single" w:sz="6" w:space="18" w:color="EEEEEE"/>
        </w:pBdr>
        <w:spacing w:before="0" w:beforeAutospacing="0" w:after="0" w:afterAutospacing="0" w:line="480" w:lineRule="auto"/>
        <w:textAlignment w:val="baseline"/>
        <w:rPr>
          <w:b w:val="0"/>
          <w:color w:val="000000" w:themeColor="text1"/>
          <w:sz w:val="24"/>
          <w:szCs w:val="24"/>
        </w:rPr>
      </w:pPr>
    </w:p>
    <w:p w:rsidR="00247CC4" w:rsidRPr="00034739" w:rsidRDefault="00247CC4" w:rsidP="00247CC4">
      <w:pPr>
        <w:pStyle w:val="Heading1"/>
        <w:pBdr>
          <w:bottom w:val="single" w:sz="6" w:space="18" w:color="EEEEEE"/>
        </w:pBdr>
        <w:spacing w:before="0" w:beforeAutospacing="0" w:after="0" w:afterAutospacing="0" w:line="480" w:lineRule="auto"/>
        <w:textAlignment w:val="baseline"/>
        <w:rPr>
          <w:b w:val="0"/>
          <w:color w:val="000000" w:themeColor="text1"/>
          <w:sz w:val="24"/>
          <w:szCs w:val="24"/>
        </w:rPr>
      </w:pPr>
      <w:bookmarkStart w:id="0" w:name="_GoBack"/>
      <w:bookmarkEnd w:id="0"/>
    </w:p>
    <w:p w:rsidR="00034739" w:rsidRPr="00034739" w:rsidRDefault="00311A23" w:rsidP="00B95D9C">
      <w:pPr>
        <w:pStyle w:val="Heading1"/>
        <w:pBdr>
          <w:bottom w:val="single" w:sz="6" w:space="18" w:color="EEEEEE"/>
        </w:pBdr>
        <w:spacing w:before="0" w:beforeAutospacing="0" w:after="0" w:afterAutospacing="0" w:line="480" w:lineRule="auto"/>
        <w:ind w:firstLine="720"/>
        <w:jc w:val="center"/>
        <w:textAlignment w:val="baseline"/>
        <w:rPr>
          <w:b w:val="0"/>
          <w:color w:val="000000" w:themeColor="text1"/>
          <w:sz w:val="24"/>
          <w:szCs w:val="24"/>
        </w:rPr>
      </w:pPr>
      <w:r w:rsidRPr="00034739">
        <w:rPr>
          <w:b w:val="0"/>
          <w:color w:val="000000" w:themeColor="text1"/>
          <w:sz w:val="24"/>
          <w:szCs w:val="24"/>
        </w:rPr>
        <w:lastRenderedPageBreak/>
        <w:t>Works Cited</w:t>
      </w:r>
    </w:p>
    <w:p w:rsidR="00034739" w:rsidRPr="00034739" w:rsidRDefault="00311A23" w:rsidP="00B95D9C">
      <w:pPr>
        <w:pStyle w:val="Heading1"/>
        <w:pBdr>
          <w:bottom w:val="single" w:sz="6" w:space="18" w:color="EEEEEE"/>
        </w:pBdr>
        <w:spacing w:before="0" w:beforeAutospacing="0" w:after="0" w:afterAutospacing="0" w:line="480" w:lineRule="auto"/>
        <w:ind w:left="720" w:hanging="720"/>
        <w:textAlignment w:val="baseline"/>
        <w:rPr>
          <w:b w:val="0"/>
          <w:color w:val="000000" w:themeColor="text1"/>
          <w:sz w:val="24"/>
          <w:szCs w:val="24"/>
        </w:rPr>
      </w:pPr>
      <w:r w:rsidRPr="00034739">
        <w:rPr>
          <w:b w:val="0"/>
          <w:color w:val="000000" w:themeColor="text1"/>
          <w:sz w:val="24"/>
          <w:szCs w:val="24"/>
          <w:shd w:val="clear" w:color="auto" w:fill="FFFFFF"/>
        </w:rPr>
        <w:t xml:space="preserve">Hudson, David L. "Notable First Amendment Court Cases." </w:t>
      </w:r>
      <w:r w:rsidRPr="00034739">
        <w:rPr>
          <w:b w:val="0"/>
          <w:i/>
          <w:iCs/>
          <w:color w:val="000000" w:themeColor="text1"/>
          <w:sz w:val="24"/>
          <w:szCs w:val="24"/>
          <w:shd w:val="clear" w:color="auto" w:fill="FFFFFF"/>
        </w:rPr>
        <w:t>Advocacy, Legislation &amp; Issues</w:t>
      </w:r>
      <w:r w:rsidRPr="00034739">
        <w:rPr>
          <w:b w:val="0"/>
          <w:color w:val="000000" w:themeColor="text1"/>
          <w:sz w:val="24"/>
          <w:szCs w:val="24"/>
          <w:shd w:val="clear" w:color="auto" w:fill="FFFFFF"/>
        </w:rPr>
        <w:t>, 2019, http://www.ala.org/advocacy/intfreedom/censorship/courtcases.</w:t>
      </w:r>
    </w:p>
    <w:p w:rsidR="00034739" w:rsidRPr="00034739" w:rsidRDefault="00311A23" w:rsidP="00B95D9C">
      <w:pPr>
        <w:pStyle w:val="Heading1"/>
        <w:pBdr>
          <w:bottom w:val="single" w:sz="6" w:space="18" w:color="EEEEEE"/>
        </w:pBdr>
        <w:spacing w:before="0" w:beforeAutospacing="0" w:after="0" w:afterAutospacing="0" w:line="480" w:lineRule="auto"/>
        <w:ind w:left="720" w:hanging="720"/>
        <w:textAlignment w:val="baseline"/>
        <w:rPr>
          <w:b w:val="0"/>
          <w:color w:val="000000" w:themeColor="text1"/>
          <w:sz w:val="24"/>
          <w:szCs w:val="24"/>
        </w:rPr>
      </w:pPr>
      <w:r w:rsidRPr="00034739">
        <w:rPr>
          <w:b w:val="0"/>
          <w:color w:val="000000" w:themeColor="text1"/>
          <w:sz w:val="24"/>
          <w:szCs w:val="24"/>
        </w:rPr>
        <w:t>Kanovitz, Jacqueline R., Constitutional Law for Criminal Justice, 14th edition, (New York:</w:t>
      </w:r>
    </w:p>
    <w:p w:rsidR="00034739" w:rsidRPr="00034739" w:rsidRDefault="00D917AA" w:rsidP="00B95D9C">
      <w:pPr>
        <w:pStyle w:val="Heading1"/>
        <w:pBdr>
          <w:bottom w:val="single" w:sz="6" w:space="18" w:color="EEEEEE"/>
        </w:pBdr>
        <w:spacing w:before="0" w:beforeAutospacing="0" w:after="0" w:afterAutospacing="0" w:line="480" w:lineRule="auto"/>
        <w:ind w:left="720" w:hanging="720"/>
        <w:textAlignment w:val="baseline"/>
        <w:rPr>
          <w:b w:val="0"/>
          <w:color w:val="000000" w:themeColor="text1"/>
          <w:sz w:val="24"/>
          <w:szCs w:val="24"/>
        </w:rPr>
      </w:pPr>
      <w:r>
        <w:rPr>
          <w:b w:val="0"/>
          <w:color w:val="000000" w:themeColor="text1"/>
          <w:sz w:val="24"/>
          <w:szCs w:val="24"/>
        </w:rPr>
        <w:t xml:space="preserve">            </w:t>
      </w:r>
      <w:r w:rsidR="00311A23" w:rsidRPr="00034739">
        <w:rPr>
          <w:b w:val="0"/>
          <w:color w:val="000000" w:themeColor="text1"/>
          <w:sz w:val="24"/>
          <w:szCs w:val="24"/>
        </w:rPr>
        <w:t xml:space="preserve">Routledge), 2015. ISBN # 978-0-323-34048-9. </w:t>
      </w:r>
    </w:p>
    <w:p w:rsidR="00ED75F0" w:rsidRPr="00034739" w:rsidRDefault="00ED75F0" w:rsidP="00B95D9C">
      <w:pPr>
        <w:pStyle w:val="Heading1"/>
        <w:pBdr>
          <w:bottom w:val="single" w:sz="6" w:space="18" w:color="EEEEEE"/>
        </w:pBdr>
        <w:spacing w:before="0" w:beforeAutospacing="0" w:after="0" w:afterAutospacing="0" w:line="480" w:lineRule="auto"/>
        <w:ind w:left="720" w:hanging="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left="720" w:hanging="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Pr="00034739" w:rsidRDefault="00ED75F0" w:rsidP="00B95D9C">
      <w:pPr>
        <w:pStyle w:val="Heading1"/>
        <w:pBdr>
          <w:bottom w:val="single" w:sz="6" w:space="18" w:color="EEEEEE"/>
        </w:pBdr>
        <w:spacing w:before="0" w:beforeAutospacing="0" w:after="0" w:afterAutospacing="0" w:line="480" w:lineRule="auto"/>
        <w:ind w:firstLine="720"/>
        <w:textAlignment w:val="baseline"/>
        <w:rPr>
          <w:b w:val="0"/>
          <w:color w:val="000000" w:themeColor="text1"/>
          <w:sz w:val="24"/>
          <w:szCs w:val="24"/>
        </w:rPr>
      </w:pPr>
    </w:p>
    <w:p w:rsidR="00ED75F0" w:rsidRDefault="00ED75F0" w:rsidP="00B95D9C">
      <w:pPr>
        <w:pStyle w:val="Heading1"/>
        <w:pBdr>
          <w:bottom w:val="single" w:sz="6" w:space="18" w:color="EEEEEE"/>
        </w:pBdr>
        <w:spacing w:before="0" w:beforeAutospacing="0" w:after="0" w:afterAutospacing="0" w:line="480" w:lineRule="auto"/>
        <w:textAlignment w:val="baseline"/>
        <w:rPr>
          <w:b w:val="0"/>
          <w:color w:val="000000"/>
          <w:sz w:val="24"/>
          <w:szCs w:val="24"/>
        </w:rPr>
      </w:pPr>
    </w:p>
    <w:p w:rsidR="00ED75F0" w:rsidRDefault="00ED75F0" w:rsidP="00B95D9C">
      <w:pPr>
        <w:pStyle w:val="Heading1"/>
        <w:pBdr>
          <w:bottom w:val="single" w:sz="6" w:space="18" w:color="EEEEEE"/>
        </w:pBdr>
        <w:spacing w:before="0" w:beforeAutospacing="0" w:after="0" w:afterAutospacing="0" w:line="480" w:lineRule="auto"/>
        <w:textAlignment w:val="baseline"/>
        <w:rPr>
          <w:b w:val="0"/>
          <w:color w:val="000000"/>
          <w:sz w:val="24"/>
          <w:szCs w:val="24"/>
        </w:rPr>
      </w:pPr>
    </w:p>
    <w:p w:rsidR="00ED75F0" w:rsidRDefault="00ED75F0" w:rsidP="00B95D9C">
      <w:pPr>
        <w:pStyle w:val="Heading1"/>
        <w:pBdr>
          <w:bottom w:val="single" w:sz="6" w:space="18" w:color="EEEEEE"/>
        </w:pBdr>
        <w:spacing w:before="0" w:beforeAutospacing="0" w:after="0" w:afterAutospacing="0" w:line="480" w:lineRule="auto"/>
        <w:textAlignment w:val="baseline"/>
        <w:rPr>
          <w:b w:val="0"/>
          <w:color w:val="000000"/>
          <w:sz w:val="24"/>
          <w:szCs w:val="24"/>
        </w:rPr>
      </w:pPr>
    </w:p>
    <w:p w:rsidR="00ED75F0" w:rsidRDefault="00ED75F0" w:rsidP="00B95D9C">
      <w:pPr>
        <w:pStyle w:val="Heading1"/>
        <w:pBdr>
          <w:bottom w:val="single" w:sz="6" w:space="18" w:color="EEEEEE"/>
        </w:pBdr>
        <w:spacing w:before="0" w:beforeAutospacing="0" w:after="0" w:afterAutospacing="0" w:line="480" w:lineRule="auto"/>
        <w:textAlignment w:val="baseline"/>
        <w:rPr>
          <w:b w:val="0"/>
          <w:color w:val="000000"/>
          <w:sz w:val="24"/>
          <w:szCs w:val="24"/>
        </w:rPr>
      </w:pPr>
    </w:p>
    <w:p w:rsidR="00ED75F0" w:rsidRDefault="00ED75F0" w:rsidP="00B95D9C">
      <w:pPr>
        <w:pStyle w:val="Heading1"/>
        <w:pBdr>
          <w:bottom w:val="single" w:sz="6" w:space="18" w:color="EEEEEE"/>
        </w:pBdr>
        <w:spacing w:before="0" w:beforeAutospacing="0" w:after="0" w:afterAutospacing="0" w:line="480" w:lineRule="auto"/>
        <w:textAlignment w:val="baseline"/>
        <w:rPr>
          <w:b w:val="0"/>
          <w:color w:val="000000"/>
          <w:sz w:val="24"/>
          <w:szCs w:val="24"/>
        </w:rPr>
      </w:pPr>
    </w:p>
    <w:p w:rsidR="006631DB" w:rsidRPr="00C87E77" w:rsidRDefault="006631DB" w:rsidP="00B95D9C">
      <w:pPr>
        <w:pStyle w:val="Heading1"/>
        <w:pBdr>
          <w:bottom w:val="single" w:sz="6" w:space="18" w:color="EEEEEE"/>
        </w:pBdr>
        <w:spacing w:before="0" w:beforeAutospacing="0" w:after="0" w:afterAutospacing="0" w:line="480" w:lineRule="auto"/>
        <w:textAlignment w:val="baseline"/>
        <w:rPr>
          <w:b w:val="0"/>
          <w:color w:val="000000"/>
          <w:sz w:val="24"/>
          <w:szCs w:val="24"/>
        </w:rPr>
      </w:pPr>
    </w:p>
    <w:sectPr w:rsidR="006631DB" w:rsidRPr="00C87E77" w:rsidSect="004A6C3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51F" w:rsidRDefault="000F451F">
      <w:pPr>
        <w:spacing w:after="0" w:line="240" w:lineRule="auto"/>
      </w:pPr>
      <w:r>
        <w:separator/>
      </w:r>
    </w:p>
  </w:endnote>
  <w:endnote w:type="continuationSeparator" w:id="1">
    <w:p w:rsidR="000F451F" w:rsidRDefault="000F45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51F" w:rsidRDefault="000F451F">
      <w:pPr>
        <w:spacing w:after="0" w:line="240" w:lineRule="auto"/>
      </w:pPr>
      <w:r>
        <w:separator/>
      </w:r>
    </w:p>
  </w:footnote>
  <w:footnote w:type="continuationSeparator" w:id="1">
    <w:p w:rsidR="000F451F" w:rsidRDefault="000F45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39" w:rsidRPr="00034739" w:rsidRDefault="00311A23">
    <w:pPr>
      <w:pStyle w:val="Header"/>
      <w:jc w:val="right"/>
      <w:rPr>
        <w:rFonts w:ascii="Times New Roman" w:hAnsi="Times New Roman" w:cs="Times New Roman"/>
        <w:sz w:val="24"/>
        <w:szCs w:val="24"/>
      </w:rPr>
    </w:pPr>
    <w:r w:rsidRPr="00034739">
      <w:rPr>
        <w:rFonts w:ascii="Times New Roman" w:hAnsi="Times New Roman" w:cs="Times New Roman"/>
        <w:sz w:val="24"/>
        <w:szCs w:val="24"/>
      </w:rPr>
      <w:t xml:space="preserve">Surname </w:t>
    </w:r>
    <w:sdt>
      <w:sdtPr>
        <w:rPr>
          <w:rFonts w:ascii="Times New Roman" w:hAnsi="Times New Roman" w:cs="Times New Roman"/>
          <w:sz w:val="24"/>
          <w:szCs w:val="24"/>
        </w:rPr>
        <w:id w:val="1001786210"/>
        <w:docPartObj>
          <w:docPartGallery w:val="Page Numbers (Top of Page)"/>
          <w:docPartUnique/>
        </w:docPartObj>
      </w:sdtPr>
      <w:sdtEndPr>
        <w:rPr>
          <w:noProof/>
        </w:rPr>
      </w:sdtEndPr>
      <w:sdtContent>
        <w:r w:rsidR="005F4358" w:rsidRPr="00034739">
          <w:rPr>
            <w:rFonts w:ascii="Times New Roman" w:hAnsi="Times New Roman" w:cs="Times New Roman"/>
            <w:sz w:val="24"/>
            <w:szCs w:val="24"/>
          </w:rPr>
          <w:fldChar w:fldCharType="begin"/>
        </w:r>
        <w:r w:rsidR="00D22925" w:rsidRPr="00034739">
          <w:rPr>
            <w:rFonts w:ascii="Times New Roman" w:hAnsi="Times New Roman" w:cs="Times New Roman"/>
            <w:sz w:val="24"/>
            <w:szCs w:val="24"/>
          </w:rPr>
          <w:instrText xml:space="preserve"> PAGE   \* MERGEFORMAT </w:instrText>
        </w:r>
        <w:r w:rsidR="005F4358" w:rsidRPr="00034739">
          <w:rPr>
            <w:rFonts w:ascii="Times New Roman" w:hAnsi="Times New Roman" w:cs="Times New Roman"/>
            <w:sz w:val="24"/>
            <w:szCs w:val="24"/>
          </w:rPr>
          <w:fldChar w:fldCharType="separate"/>
        </w:r>
        <w:r w:rsidR="00D917AA">
          <w:rPr>
            <w:rFonts w:ascii="Times New Roman" w:hAnsi="Times New Roman" w:cs="Times New Roman"/>
            <w:noProof/>
            <w:sz w:val="24"/>
            <w:szCs w:val="24"/>
          </w:rPr>
          <w:t>4</w:t>
        </w:r>
        <w:r w:rsidR="005F4358" w:rsidRPr="00034739">
          <w:rPr>
            <w:rFonts w:ascii="Times New Roman" w:hAnsi="Times New Roman" w:cs="Times New Roman"/>
            <w:noProof/>
            <w:sz w:val="24"/>
            <w:szCs w:val="24"/>
          </w:rPr>
          <w:fldChar w:fldCharType="end"/>
        </w:r>
      </w:sdtContent>
    </w:sdt>
  </w:p>
  <w:p w:rsidR="00034739" w:rsidRDefault="0003473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005C"/>
    <w:rsid w:val="00034739"/>
    <w:rsid w:val="000F451F"/>
    <w:rsid w:val="00247CC4"/>
    <w:rsid w:val="00276989"/>
    <w:rsid w:val="00280ABE"/>
    <w:rsid w:val="00311A23"/>
    <w:rsid w:val="00390B95"/>
    <w:rsid w:val="003B391F"/>
    <w:rsid w:val="00422B85"/>
    <w:rsid w:val="004636BE"/>
    <w:rsid w:val="004A6C3D"/>
    <w:rsid w:val="0051005C"/>
    <w:rsid w:val="005853C9"/>
    <w:rsid w:val="005F121B"/>
    <w:rsid w:val="005F4358"/>
    <w:rsid w:val="006631DB"/>
    <w:rsid w:val="00680060"/>
    <w:rsid w:val="00732FA5"/>
    <w:rsid w:val="00B95D9C"/>
    <w:rsid w:val="00BC3FD7"/>
    <w:rsid w:val="00C877E4"/>
    <w:rsid w:val="00C87E77"/>
    <w:rsid w:val="00D22925"/>
    <w:rsid w:val="00D917AA"/>
    <w:rsid w:val="00DB2581"/>
    <w:rsid w:val="00DD1B87"/>
    <w:rsid w:val="00E839C7"/>
    <w:rsid w:val="00ED75F0"/>
    <w:rsid w:val="00F2415C"/>
    <w:rsid w:val="00F8548F"/>
    <w:rsid w:val="00FC3AA2"/>
    <w:rsid w:val="00FF0A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C3D"/>
  </w:style>
  <w:style w:type="paragraph" w:styleId="Heading1">
    <w:name w:val="heading 1"/>
    <w:basedOn w:val="Normal"/>
    <w:link w:val="Heading1Char"/>
    <w:uiPriority w:val="9"/>
    <w:qFormat/>
    <w:rsid w:val="00DB25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00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1005C"/>
    <w:rPr>
      <w:color w:val="0000FF"/>
      <w:u w:val="single"/>
    </w:rPr>
  </w:style>
  <w:style w:type="paragraph" w:customStyle="1" w:styleId="p1">
    <w:name w:val="p1"/>
    <w:basedOn w:val="Normal"/>
    <w:rsid w:val="00DB25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DB2581"/>
  </w:style>
  <w:style w:type="character" w:customStyle="1" w:styleId="s2">
    <w:name w:val="s2"/>
    <w:basedOn w:val="DefaultParagraphFont"/>
    <w:rsid w:val="00DB2581"/>
  </w:style>
  <w:style w:type="character" w:customStyle="1" w:styleId="apple-converted-space">
    <w:name w:val="apple-converted-space"/>
    <w:basedOn w:val="DefaultParagraphFont"/>
    <w:rsid w:val="00DB2581"/>
  </w:style>
  <w:style w:type="character" w:customStyle="1" w:styleId="Heading1Char">
    <w:name w:val="Heading 1 Char"/>
    <w:basedOn w:val="DefaultParagraphFont"/>
    <w:link w:val="Heading1"/>
    <w:uiPriority w:val="9"/>
    <w:rsid w:val="00DB2581"/>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34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39"/>
  </w:style>
  <w:style w:type="paragraph" w:styleId="Footer">
    <w:name w:val="footer"/>
    <w:basedOn w:val="Normal"/>
    <w:link w:val="FooterChar"/>
    <w:uiPriority w:val="99"/>
    <w:unhideWhenUsed/>
    <w:rsid w:val="00034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3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2020-04-01T12:03:00Z</dcterms:created>
  <dcterms:modified xsi:type="dcterms:W3CDTF">2020-04-01T12:03:00Z</dcterms:modified>
</cp:coreProperties>
</file>